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5C25CBE2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　</w:t>
      </w:r>
      <w:r w:rsidR="005D10DC">
        <w:rPr>
          <w:rFonts w:hint="eastAsia"/>
          <w:spacing w:val="0"/>
          <w:sz w:val="21"/>
          <w:szCs w:val="21"/>
        </w:rPr>
        <w:t>5</w:t>
      </w:r>
      <w:r w:rsidR="00281E94" w:rsidRPr="008D5347">
        <w:rPr>
          <w:spacing w:val="0"/>
          <w:sz w:val="21"/>
          <w:szCs w:val="21"/>
        </w:rPr>
        <w:t xml:space="preserve">月　</w:t>
      </w:r>
      <w:r w:rsidR="005D10DC">
        <w:rPr>
          <w:rFonts w:hint="eastAsia"/>
          <w:spacing w:val="0"/>
          <w:sz w:val="21"/>
          <w:szCs w:val="21"/>
        </w:rPr>
        <w:t>25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62F7389B" w:rsidR="005927ED" w:rsidRPr="00B34CE2" w:rsidRDefault="00531D47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東北大学金属材料研究所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49A0F4C1" w:rsidR="005927ED" w:rsidRPr="00B34CE2" w:rsidRDefault="00531D47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1DCF1ED0" w:rsidR="005927ED" w:rsidRPr="00B34CE2" w:rsidRDefault="00531D47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藤原 航三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5C02EAC0" w:rsidR="005927ED" w:rsidRPr="00B34CE2" w:rsidRDefault="00531D47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</w:rPr>
              <w:t>熊本大学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先進マグネシウム国際研究センター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63E80594" w:rsidR="005927ED" w:rsidRPr="00B34CE2" w:rsidRDefault="00531D47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143C4573" w:rsidR="005927ED" w:rsidRPr="00B34CE2" w:rsidRDefault="00531D47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木口 </w:t>
            </w:r>
            <w:r>
              <w:rPr>
                <w:rFonts w:ascii="ＭＳ Ｐ明朝" w:eastAsia="ＭＳ Ｐ明朝" w:hAnsi="ＭＳ Ｐ明朝" w:cs="Arial" w:hint="eastAsia"/>
                <w:color w:val="222222"/>
                <w:shd w:val="clear" w:color="auto" w:fill="FFFFFF"/>
              </w:rPr>
              <w:t>賢紀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10C5D6BA" w:rsidR="00596D90" w:rsidRPr="00B34CE2" w:rsidRDefault="00531D47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Ti合金の固液界面不安定化現象の解明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696FAE0B" w:rsidR="00596D90" w:rsidRPr="00B34CE2" w:rsidRDefault="00531D47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4CF3C" wp14:editId="4F1C87B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44450</wp:posOffset>
                      </wp:positionV>
                      <wp:extent cx="85725" cy="85725"/>
                      <wp:effectExtent l="0" t="0" r="28575" b="47625"/>
                      <wp:wrapNone/>
                      <wp:docPr id="741897961" name="フリーフォーム: 図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custGeom>
                                <a:avLst/>
                                <a:gdLst>
                                  <a:gd name="connsiteX0" fmla="*/ 0 w 85725"/>
                                  <a:gd name="connsiteY0" fmla="*/ 9525 h 85725"/>
                                  <a:gd name="connsiteX1" fmla="*/ 38100 w 85725"/>
                                  <a:gd name="connsiteY1" fmla="*/ 85725 h 85725"/>
                                  <a:gd name="connsiteX2" fmla="*/ 85725 w 85725"/>
                                  <a:gd name="connsiteY2" fmla="*/ 0 h 857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85725" h="85725">
                                    <a:moveTo>
                                      <a:pt x="0" y="9525"/>
                                    </a:moveTo>
                                    <a:lnTo>
                                      <a:pt x="38100" y="85725"/>
                                    </a:lnTo>
                                    <a:lnTo>
                                      <a:pt x="85725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A2070" id="フリーフォーム: 図形 1" o:spid="_x0000_s1026" style="position:absolute;margin-left:.85pt;margin-top:3.5pt;width:6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" path="m,9525l38100,85725,85725,e" filled="f" strokecolor="black [3213]" strokeweight="1.5pt">
                      <v:stroke joinstyle="miter"/>
                      <v:path arrowok="t" o:connecttype="custom" o:connectlocs="0,9525;38100,85725;85725,0" o:connectangles="0,0,0"/>
                    </v:shape>
                  </w:pict>
                </mc:Fallback>
              </mc:AlternateContent>
            </w:r>
            <w:r w:rsidR="00B34CE2"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4EF1E7E6" w:rsidR="00A16AEA" w:rsidRPr="00B34CE2" w:rsidRDefault="00531D47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アーク溶解炉</w:t>
            </w: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0CE25582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</w:t>
            </w:r>
            <w:r w:rsidR="00531D47" w:rsidRPr="00531D47">
              <w:rPr>
                <w:rFonts w:ascii="ＭＳ Ｐ明朝" w:eastAsia="ＭＳ Ｐ明朝" w:hAnsi="ＭＳ Ｐ明朝"/>
                <w:sz w:val="22"/>
                <w:szCs w:val="22"/>
              </w:rPr>
              <w:t>200,000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0F61A53C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　　　　　</w:t>
            </w:r>
            <w:r w:rsidR="00531D47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28400E8" w:rsidR="00596D90" w:rsidRPr="005927ED" w:rsidRDefault="00D878FE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0B5E2" wp14:editId="50045ED9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163195</wp:posOffset>
                      </wp:positionV>
                      <wp:extent cx="1590675" cy="2857500"/>
                      <wp:effectExtent l="0" t="0" r="9525" b="0"/>
                      <wp:wrapSquare wrapText="bothSides"/>
                      <wp:docPr id="8912047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285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722DA" w14:textId="4A482FF5" w:rsidR="00D878FE" w:rsidRDefault="00D878FE" w:rsidP="00D878FE">
                                  <w:pPr>
                                    <w:ind w:firstLineChars="100" w:firstLine="210"/>
                                  </w:pPr>
                                  <w:r w:rsidRPr="00D878FE">
                                    <w:drawing>
                                      <wp:inline distT="0" distB="0" distL="0" distR="0" wp14:anchorId="3FC338F3" wp14:editId="1F95A0D8">
                                        <wp:extent cx="1011555" cy="2378710"/>
                                        <wp:effectExtent l="0" t="0" r="0" b="2540"/>
                                        <wp:docPr id="1291152044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1555" cy="2378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E85E285" w14:textId="77777777" w:rsidR="00D878FE" w:rsidRDefault="00D878FE">
                                  <w:r>
                                    <w:rPr>
                                      <w:rFonts w:hint="eastAsia"/>
                                    </w:rPr>
                                    <w:t>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Ti-7wt%Fe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合金の</w:t>
                                  </w:r>
                                </w:p>
                                <w:p w14:paraId="25C9E9F3" w14:textId="36470B36" w:rsidR="00D878FE" w:rsidRDefault="00D878F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融解と酸化膜の形成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0B5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6.2pt;margin-top:12.85pt;width:125.25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FcLg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" fillcolor="white [3201]" stroked="f" strokeweight=".5pt">
                      <v:textbox>
                        <w:txbxContent>
                          <w:p w14:paraId="15F722DA" w14:textId="4A482FF5" w:rsidR="00D878FE" w:rsidRDefault="00D878FE" w:rsidP="00D878FE">
                            <w:pPr>
                              <w:ind w:firstLineChars="100" w:firstLine="210"/>
                            </w:pPr>
                            <w:r w:rsidRPr="00D878FE">
                              <w:drawing>
                                <wp:inline distT="0" distB="0" distL="0" distR="0" wp14:anchorId="3FC338F3" wp14:editId="1F95A0D8">
                                  <wp:extent cx="1011555" cy="2378710"/>
                                  <wp:effectExtent l="0" t="0" r="0" b="2540"/>
                                  <wp:docPr id="1291152044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1555" cy="2378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5E285" w14:textId="77777777" w:rsidR="00D878FE" w:rsidRDefault="00D878FE"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</w:rPr>
                              <w:t xml:space="preserve"> Ti-7wt%Fe</w:t>
                            </w:r>
                            <w:r>
                              <w:rPr>
                                <w:rFonts w:hint="eastAsia"/>
                              </w:rPr>
                              <w:t>合金の</w:t>
                            </w:r>
                          </w:p>
                          <w:p w14:paraId="25C9E9F3" w14:textId="36470B36" w:rsidR="00D878FE" w:rsidRDefault="00D878F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融解と酸化膜の形成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6D90"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="00596D90"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</w:p>
          <w:p w14:paraId="654EA5F5" w14:textId="30650EF5" w:rsidR="00531D47" w:rsidRDefault="00531D47" w:rsidP="005D10DC">
            <w:pPr>
              <w:pStyle w:val="a3"/>
              <w:spacing w:line="288" w:lineRule="atLeast"/>
              <w:ind w:firstLineChars="100" w:firstLine="216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本共同研究は、Ti合金の凝固過程を直接観察し、Ti合金における固液界面</w:t>
            </w:r>
            <w:r>
              <w:rPr>
                <w:rFonts w:ascii="ＭＳ Ｐ明朝" w:eastAsia="ＭＳ Ｐ明朝" w:hAnsi="ＭＳ Ｐ明朝" w:hint="eastAsia"/>
              </w:rPr>
              <w:t>不安定化</w:t>
            </w:r>
            <w:r>
              <w:rPr>
                <w:rFonts w:ascii="ＭＳ Ｐ明朝" w:eastAsia="ＭＳ Ｐ明朝" w:hAnsi="ＭＳ Ｐ明朝" w:hint="eastAsia"/>
              </w:rPr>
              <w:t>現象を明らかにすることを目的に実施している。令和</w:t>
            </w:r>
            <w:r w:rsidR="00D878FE">
              <w:rPr>
                <w:rFonts w:ascii="ＭＳ Ｐ明朝" w:eastAsia="ＭＳ Ｐ明朝" w:hAnsi="ＭＳ Ｐ明朝" w:hint="eastAsia"/>
              </w:rPr>
              <w:t>7</w:t>
            </w:r>
            <w:r>
              <w:rPr>
                <w:rFonts w:ascii="ＭＳ Ｐ明朝" w:eastAsia="ＭＳ Ｐ明朝" w:hAnsi="ＭＳ Ｐ明朝" w:hint="eastAsia"/>
              </w:rPr>
              <w:t>年度</w:t>
            </w:r>
            <w:r w:rsidR="00D878FE">
              <w:rPr>
                <w:rFonts w:ascii="ＭＳ Ｐ明朝" w:eastAsia="ＭＳ Ｐ明朝" w:hAnsi="ＭＳ Ｐ明朝" w:hint="eastAsia"/>
              </w:rPr>
              <w:t>も継続して</w:t>
            </w:r>
            <w:r>
              <w:rPr>
                <w:rFonts w:ascii="ＭＳ Ｐ明朝" w:eastAsia="ＭＳ Ｐ明朝" w:hAnsi="ＭＳ Ｐ明朝" w:hint="eastAsia"/>
              </w:rPr>
              <w:t>熊本大学で作製された</w:t>
            </w:r>
            <w:r w:rsidRPr="003930ED">
              <w:rPr>
                <w:rFonts w:ascii="ＭＳ Ｐ明朝" w:eastAsia="ＭＳ Ｐ明朝" w:hAnsi="ＭＳ Ｐ明朝"/>
              </w:rPr>
              <w:t>Ti-</w:t>
            </w:r>
            <w:r>
              <w:rPr>
                <w:rFonts w:ascii="ＭＳ Ｐ明朝" w:eastAsia="ＭＳ Ｐ明朝" w:hAnsi="ＭＳ Ｐ明朝" w:hint="eastAsia"/>
              </w:rPr>
              <w:t>7</w:t>
            </w:r>
            <w:r>
              <w:rPr>
                <w:rFonts w:ascii="ＭＳ Ｐ明朝" w:eastAsia="ＭＳ Ｐ明朝" w:hAnsi="ＭＳ Ｐ明朝"/>
              </w:rPr>
              <w:t>wt%</w:t>
            </w:r>
            <w:r w:rsidRPr="003930ED">
              <w:rPr>
                <w:rFonts w:ascii="ＭＳ Ｐ明朝" w:eastAsia="ＭＳ Ｐ明朝" w:hAnsi="ＭＳ Ｐ明朝"/>
              </w:rPr>
              <w:t>Fe</w:t>
            </w:r>
            <w:r>
              <w:rPr>
                <w:rFonts w:ascii="ＭＳ Ｐ明朝" w:eastAsia="ＭＳ Ｐ明朝" w:hAnsi="ＭＳ Ｐ明朝" w:hint="eastAsia"/>
              </w:rPr>
              <w:t>合金を試料として、東北大学金属材料研究所で保有する“</w:t>
            </w:r>
            <w:r w:rsidRPr="003930ED">
              <w:rPr>
                <w:rFonts w:ascii="ＭＳ Ｐ明朝" w:eastAsia="ＭＳ Ｐ明朝" w:hAnsi="ＭＳ Ｐ明朝" w:hint="eastAsia"/>
              </w:rPr>
              <w:t>その場</w:t>
            </w:r>
            <w:r>
              <w:rPr>
                <w:rFonts w:ascii="ＭＳ Ｐ明朝" w:eastAsia="ＭＳ Ｐ明朝" w:hAnsi="ＭＳ Ｐ明朝" w:hint="eastAsia"/>
              </w:rPr>
              <w:t>”</w:t>
            </w:r>
            <w:r w:rsidRPr="003930ED">
              <w:rPr>
                <w:rFonts w:ascii="ＭＳ Ｐ明朝" w:eastAsia="ＭＳ Ｐ明朝" w:hAnsi="ＭＳ Ｐ明朝" w:hint="eastAsia"/>
              </w:rPr>
              <w:t>観察</w:t>
            </w:r>
            <w:r>
              <w:rPr>
                <w:rFonts w:ascii="ＭＳ Ｐ明朝" w:eastAsia="ＭＳ Ｐ明朝" w:hAnsi="ＭＳ Ｐ明朝" w:hint="eastAsia"/>
              </w:rPr>
              <w:t>装置により凝固過程の直接観察実験を</w:t>
            </w:r>
            <w:r w:rsidR="00D878FE">
              <w:rPr>
                <w:rFonts w:ascii="ＭＳ Ｐ明朝" w:eastAsia="ＭＳ Ｐ明朝" w:hAnsi="ＭＳ Ｐ明朝" w:hint="eastAsia"/>
              </w:rPr>
              <w:t>試みた</w:t>
            </w:r>
            <w:r w:rsidRPr="003930ED">
              <w:rPr>
                <w:rFonts w:ascii="ＭＳ Ｐ明朝" w:eastAsia="ＭＳ Ｐ明朝" w:hAnsi="ＭＳ Ｐ明朝" w:hint="eastAsia"/>
              </w:rPr>
              <w:t>。</w:t>
            </w:r>
            <w:r w:rsidR="00D878FE">
              <w:rPr>
                <w:rFonts w:ascii="ＭＳ Ｐ明朝" w:eastAsia="ＭＳ Ｐ明朝" w:hAnsi="ＭＳ Ｐ明朝" w:hint="eastAsia"/>
              </w:rPr>
              <w:t>前年度はジルコニアルツボを使用することで、Tiの融解過程を観察することができた</w:t>
            </w:r>
            <w:r>
              <w:rPr>
                <w:rFonts w:ascii="ＭＳ Ｐ明朝" w:eastAsia="ＭＳ Ｐ明朝" w:hAnsi="ＭＳ Ｐ明朝" w:hint="eastAsia"/>
              </w:rPr>
              <w:t>。一方で</w:t>
            </w:r>
            <w:r w:rsidR="00D878FE">
              <w:rPr>
                <w:rFonts w:ascii="ＭＳ Ｐ明朝" w:eastAsia="ＭＳ Ｐ明朝" w:hAnsi="ＭＳ Ｐ明朝" w:hint="eastAsia"/>
              </w:rPr>
              <w:t>、融解後の保持過程で融液表面に酸化膜が形成する問題があった。本年度はアルミナルツボを用いて実験を行った。図にTi-7wt%Fe合金の融解過程の観察結果を示す。</w:t>
            </w:r>
            <w:r w:rsidR="005D10DC">
              <w:rPr>
                <w:rFonts w:ascii="ＭＳ Ｐ明朝" w:eastAsia="ＭＳ Ｐ明朝" w:hAnsi="ＭＳ Ｐ明朝" w:hint="eastAsia"/>
              </w:rPr>
              <w:t>試料を加熱し（上写真）、</w:t>
            </w:r>
            <w:r w:rsidR="00D878FE">
              <w:rPr>
                <w:rFonts w:ascii="ＭＳ Ｐ明朝" w:eastAsia="ＭＳ Ｐ明朝" w:hAnsi="ＭＳ Ｐ明朝" w:hint="eastAsia"/>
              </w:rPr>
              <w:t>約1600℃で試料が融解する</w:t>
            </w:r>
            <w:r w:rsidR="005D10DC">
              <w:rPr>
                <w:rFonts w:ascii="ＭＳ Ｐ明朝" w:eastAsia="ＭＳ Ｐ明朝" w:hAnsi="ＭＳ Ｐ明朝" w:hint="eastAsia"/>
              </w:rPr>
              <w:t>様子</w:t>
            </w:r>
            <w:r w:rsidR="00D878FE">
              <w:rPr>
                <w:rFonts w:ascii="ＭＳ Ｐ明朝" w:eastAsia="ＭＳ Ｐ明朝" w:hAnsi="ＭＳ Ｐ明朝" w:hint="eastAsia"/>
              </w:rPr>
              <w:t>を観察できた（中央写真）。しかしながら、融解後ただちにジルコニアルツボの場合と同様に、融液表面に酸化膜が形成し（下写真）、酸化膜の下に存在している融液を観察することが困難となった。このように、Ｔｉ合金の融解過程までは観察できるようになったが、融解後に形成される酸化膜を抑制するには至っておらず、炉内雰囲気やTi合金の表面処理法などの検討を行っている。</w:t>
            </w:r>
          </w:p>
          <w:p w14:paraId="154195C7" w14:textId="77777777" w:rsidR="00531D47" w:rsidRPr="005927ED" w:rsidRDefault="00531D47" w:rsidP="00531D47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1B0D6485" w14:textId="47A0E98A" w:rsidR="00596D90" w:rsidRPr="005927ED" w:rsidRDefault="00531D47" w:rsidP="00A16AEA">
            <w:pPr>
              <w:pStyle w:val="a3"/>
              <w:spacing w:line="288" w:lineRule="atLeast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Ti合金の固液界面現象を直接観察するため</w:t>
            </w:r>
            <w:r w:rsidR="00D878FE">
              <w:rPr>
                <w:rFonts w:ascii="ＭＳ Ｐ明朝" w:eastAsia="ＭＳ Ｐ明朝" w:hAnsi="ＭＳ Ｐ明朝" w:hint="eastAsia"/>
                <w:spacing w:val="0"/>
              </w:rPr>
              <w:t>に、</w:t>
            </w:r>
            <w:r w:rsidR="005D10DC">
              <w:rPr>
                <w:rFonts w:ascii="ＭＳ Ｐ明朝" w:eastAsia="ＭＳ Ｐ明朝" w:hAnsi="ＭＳ Ｐ明朝" w:hint="eastAsia"/>
                <w:spacing w:val="0"/>
              </w:rPr>
              <w:t>引き続き、酸化膜形成を抑制する条件を検討し、最終的にはＴｉ合金の凝固過程を直接観察する</w:t>
            </w:r>
            <w:r>
              <w:rPr>
                <w:rFonts w:ascii="ＭＳ Ｐ明朝" w:eastAsia="ＭＳ Ｐ明朝" w:hAnsi="ＭＳ Ｐ明朝" w:hint="eastAsia"/>
                <w:spacing w:val="0"/>
              </w:rPr>
              <w:t>。</w:t>
            </w:r>
          </w:p>
          <w:p w14:paraId="6BD61496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0EE0A945" w14:textId="42CB5B1E" w:rsidR="005D10DC" w:rsidRPr="005927ED" w:rsidRDefault="005D10DC" w:rsidP="005D10DC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なし。</w:t>
            </w:r>
          </w:p>
          <w:p w14:paraId="2B1D7F3D" w14:textId="52B78B0A" w:rsidR="00596D90" w:rsidRPr="005927ED" w:rsidRDefault="00596D90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794542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6178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9"/>
      <w:footerReference w:type="default" r:id="rId10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A9DE" w14:textId="77777777" w:rsidR="00947B62" w:rsidRDefault="00947B62">
      <w:r>
        <w:separator/>
      </w:r>
    </w:p>
  </w:endnote>
  <w:endnote w:type="continuationSeparator" w:id="0">
    <w:p w14:paraId="0E534A5E" w14:textId="77777777" w:rsidR="00947B62" w:rsidRDefault="0094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D621" w14:textId="77777777" w:rsidR="00947B62" w:rsidRDefault="00947B62">
      <w:r>
        <w:separator/>
      </w:r>
    </w:p>
  </w:footnote>
  <w:footnote w:type="continuationSeparator" w:id="0">
    <w:p w14:paraId="2212F1EF" w14:textId="77777777" w:rsidR="00947B62" w:rsidRDefault="0094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7075"/>
    <w:rsid w:val="001A4BCB"/>
    <w:rsid w:val="001A7C6E"/>
    <w:rsid w:val="001D1C8E"/>
    <w:rsid w:val="001F6B85"/>
    <w:rsid w:val="00206486"/>
    <w:rsid w:val="002074CB"/>
    <w:rsid w:val="00213778"/>
    <w:rsid w:val="0022133D"/>
    <w:rsid w:val="00224AEB"/>
    <w:rsid w:val="0022623D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E2DFF"/>
    <w:rsid w:val="002F1D8B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95960"/>
    <w:rsid w:val="00396C5F"/>
    <w:rsid w:val="003B1E8B"/>
    <w:rsid w:val="003B415C"/>
    <w:rsid w:val="003C2534"/>
    <w:rsid w:val="003C313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22D31"/>
    <w:rsid w:val="00531D47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D10DC"/>
    <w:rsid w:val="005E3E12"/>
    <w:rsid w:val="005F7A9B"/>
    <w:rsid w:val="006072A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639CD"/>
    <w:rsid w:val="007725D9"/>
    <w:rsid w:val="00794542"/>
    <w:rsid w:val="007A2C02"/>
    <w:rsid w:val="007A6950"/>
    <w:rsid w:val="007A7264"/>
    <w:rsid w:val="007B652D"/>
    <w:rsid w:val="007C4342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47B62"/>
    <w:rsid w:val="009534DB"/>
    <w:rsid w:val="00954345"/>
    <w:rsid w:val="009637A5"/>
    <w:rsid w:val="0098375D"/>
    <w:rsid w:val="009934CB"/>
    <w:rsid w:val="009C69DB"/>
    <w:rsid w:val="009C7D2B"/>
    <w:rsid w:val="009D1A94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55D9"/>
    <w:rsid w:val="00A818CD"/>
    <w:rsid w:val="00A821C7"/>
    <w:rsid w:val="00A856E9"/>
    <w:rsid w:val="00A85CDB"/>
    <w:rsid w:val="00A97EBC"/>
    <w:rsid w:val="00AA1B3A"/>
    <w:rsid w:val="00AB11BE"/>
    <w:rsid w:val="00AC7935"/>
    <w:rsid w:val="00AD1162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C16201"/>
    <w:rsid w:val="00C336BA"/>
    <w:rsid w:val="00C4373F"/>
    <w:rsid w:val="00C52B27"/>
    <w:rsid w:val="00C608C4"/>
    <w:rsid w:val="00C6198A"/>
    <w:rsid w:val="00C75BA8"/>
    <w:rsid w:val="00C806F8"/>
    <w:rsid w:val="00C84046"/>
    <w:rsid w:val="00C8773A"/>
    <w:rsid w:val="00C93DC4"/>
    <w:rsid w:val="00C94BC8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878FE"/>
    <w:rsid w:val="00DA0032"/>
    <w:rsid w:val="00DA044E"/>
    <w:rsid w:val="00DA74BF"/>
    <w:rsid w:val="00DB1B60"/>
    <w:rsid w:val="00DB4369"/>
    <w:rsid w:val="00DD0428"/>
    <w:rsid w:val="00DD5F5D"/>
    <w:rsid w:val="00DF4E75"/>
    <w:rsid w:val="00E152D1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航三 藤原</cp:lastModifiedBy>
  <cp:revision>2</cp:revision>
  <cp:lastPrinted>2017-05-26T07:42:00Z</cp:lastPrinted>
  <dcterms:created xsi:type="dcterms:W3CDTF">2026-05-25T05:50:00Z</dcterms:created>
  <dcterms:modified xsi:type="dcterms:W3CDTF">2026-05-25T05:50:00Z</dcterms:modified>
</cp:coreProperties>
</file>